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 By :</w:t>
            </w:r>
          </w:p>
        </w:tc>
        <w:tc>
          <w:tcPr>
            <w:tcW w:w="2520" w:type="dxa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:rsidTr="00C62FC3">
        <w:trPr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:rsidR="00440B6B" w:rsidRDefault="00234FB2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8A367C">
              <w:rPr>
                <w:rFonts w:ascii="Arial" w:hAnsi="Arial"/>
              </w:rPr>
              <w:t>/</w:t>
            </w:r>
            <w:r w:rsidR="00E64C2E">
              <w:rPr>
                <w:rFonts w:ascii="Arial" w:hAnsi="Arial"/>
              </w:rPr>
              <w:t>10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  <w:tr w:rsidR="00440B6B"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:rsidR="00440B6B" w:rsidRDefault="00234FB2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</w:t>
            </w:r>
            <w:r w:rsidR="00E64C2E">
              <w:rPr>
                <w:rFonts w:ascii="Arial" w:hAnsi="Arial"/>
              </w:rPr>
              <w:t>0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908" w:type="dxa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</w:tbl>
    <w:p w:rsidR="00440B6B" w:rsidRDefault="00440B6B">
      <w:pPr>
        <w:rPr>
          <w:sz w:val="6"/>
        </w:rPr>
      </w:pPr>
    </w:p>
    <w:p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/>
      </w:tblPr>
      <w:tblGrid>
        <w:gridCol w:w="1818"/>
        <w:gridCol w:w="2700"/>
        <w:gridCol w:w="180"/>
        <w:gridCol w:w="1350"/>
        <w:gridCol w:w="630"/>
        <w:gridCol w:w="2898"/>
      </w:tblGrid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:rsidR="00440B6B" w:rsidRDefault="00E64C2E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06/10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:rsidR="00440B6B" w:rsidRDefault="00706B2C" w:rsidP="00234FB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64C2E">
              <w:rPr>
                <w:rFonts w:ascii="Arial" w:hAnsi="Arial"/>
              </w:rPr>
              <w:t>6/24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C12D21">
              <w:rPr>
                <w:rFonts w:ascii="Arial" w:hAnsi="Arial"/>
              </w:rPr>
              <w:t xml:space="preserve">, </w:t>
            </w:r>
            <w:r w:rsidR="00A83242">
              <w:rPr>
                <w:rFonts w:ascii="Arial" w:hAnsi="Arial"/>
              </w:rPr>
              <w:t xml:space="preserve">Jan </w:t>
            </w:r>
            <w:r w:rsidR="007407CB">
              <w:rPr>
                <w:rFonts w:ascii="Arial" w:hAnsi="Arial"/>
              </w:rPr>
              <w:t>Doell</w:t>
            </w:r>
            <w:r w:rsidR="00A83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>Matt Timmerman</w:t>
            </w:r>
            <w:r>
              <w:rPr>
                <w:rFonts w:ascii="Arial" w:hAnsi="Arial"/>
              </w:rPr>
              <w:t>,</w:t>
            </w:r>
            <w:r w:rsidR="00A83242"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>Jessica Walzer</w:t>
            </w:r>
            <w:r w:rsidR="00027958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Mohamed Samater</w:t>
            </w:r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>, Joel Lavalle</w:t>
            </w:r>
            <w:r w:rsidR="00E64C2E">
              <w:rPr>
                <w:rFonts w:ascii="Arial" w:hAnsi="Arial"/>
                <w:bCs/>
                <w:iCs/>
              </w:rPr>
              <w:t>y, Lonnie Keck,</w:t>
            </w:r>
            <w:r w:rsidR="00234FB2">
              <w:rPr>
                <w:rFonts w:ascii="Arial" w:hAnsi="Arial"/>
                <w:bCs/>
                <w:iCs/>
              </w:rPr>
              <w:t xml:space="preserve"> Syed Mubeen</w:t>
            </w:r>
            <w:r w:rsidR="00E64C2E">
              <w:rPr>
                <w:rFonts w:ascii="Arial" w:hAnsi="Arial"/>
                <w:bCs/>
                <w:iCs/>
              </w:rPr>
              <w:t>, Jason Lee, Tanya Golub, Dave Lund, Beth Woltmann, Bridget Alexander, Bob Bruce</w:t>
            </w:r>
          </w:p>
          <w:p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:rsidTr="008C4E94">
        <w:tc>
          <w:tcPr>
            <w:tcW w:w="9738" w:type="dxa"/>
            <w:gridSpan w:val="7"/>
            <w:shd w:val="clear" w:color="auto" w:fill="008080"/>
          </w:tcPr>
          <w:p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:rsidTr="008D02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:rsidTr="002D185D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:rsidTr="002D185D"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Tr="002D185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:rsidTr="008D026E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:rsidR="00440B6B" w:rsidRDefault="00440B6B"/>
    <w:tbl>
      <w:tblPr>
        <w:tblW w:w="0" w:type="auto"/>
        <w:tblLayout w:type="fixed"/>
        <w:tblLook w:val="0000"/>
      </w:tblPr>
      <w:tblGrid>
        <w:gridCol w:w="9828"/>
      </w:tblGrid>
      <w:tr w:rsidR="00440B6B">
        <w:tc>
          <w:tcPr>
            <w:tcW w:w="9828" w:type="dxa"/>
            <w:shd w:val="clear" w:color="auto" w:fill="008080"/>
          </w:tcPr>
          <w:p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:rsidR="00D428B0" w:rsidRDefault="00D428B0" w:rsidP="004D59DB">
      <w:pPr>
        <w:rPr>
          <w:rFonts w:ascii="Arial" w:hAnsi="Arial"/>
        </w:rPr>
      </w:pPr>
    </w:p>
    <w:p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>ICT Test Schedule Document</w:t>
      </w:r>
      <w:r w:rsidR="00AB1B5D">
        <w:rPr>
          <w:rFonts w:ascii="Arial" w:hAnsi="Arial"/>
        </w:rPr>
        <w:t>:</w:t>
      </w:r>
    </w:p>
    <w:p w:rsidR="00EA6BC2" w:rsidRDefault="00EA6BC2" w:rsidP="00EA6BC2">
      <w:pPr>
        <w:rPr>
          <w:rFonts w:ascii="Arial" w:hAnsi="Arial"/>
        </w:rPr>
      </w:pPr>
    </w:p>
    <w:p w:rsidR="00706B2C" w:rsidRPr="00E64C2E" w:rsidRDefault="00E64C2E" w:rsidP="00E64C2E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It was noted that most of the wireline to wireline testing </w:t>
      </w:r>
      <w:r w:rsidR="00AF51D7">
        <w:rPr>
          <w:rFonts w:ascii="Arial" w:hAnsi="Arial"/>
        </w:rPr>
        <w:t xml:space="preserve">for FCC Order 09-41 </w:t>
      </w:r>
      <w:r>
        <w:rPr>
          <w:rFonts w:ascii="Arial" w:hAnsi="Arial"/>
        </w:rPr>
        <w:t xml:space="preserve">will be starting in early July </w:t>
      </w:r>
    </w:p>
    <w:p w:rsidR="00E64C2E" w:rsidRDefault="00E64C2E" w:rsidP="00E64C2E">
      <w:pPr>
        <w:ind w:left="360"/>
        <w:rPr>
          <w:rFonts w:ascii="Arial" w:hAnsi="Arial"/>
        </w:rPr>
      </w:pPr>
    </w:p>
    <w:p w:rsidR="00E64C2E" w:rsidRPr="00E64C2E" w:rsidRDefault="00E64C2E" w:rsidP="00E64C2E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ATT shared that their test executions thus far were </w:t>
      </w:r>
      <w:r w:rsidR="00AF51D7">
        <w:rPr>
          <w:rFonts w:ascii="Arial" w:hAnsi="Arial"/>
        </w:rPr>
        <w:t xml:space="preserve">all </w:t>
      </w:r>
      <w:r>
        <w:rPr>
          <w:rFonts w:ascii="Arial" w:hAnsi="Arial"/>
        </w:rPr>
        <w:t>successful. In particular, carriers are encouraged to test with different carriers that reside behind other industry vendors</w:t>
      </w:r>
      <w:r w:rsidR="00AF51D7">
        <w:rPr>
          <w:rFonts w:ascii="Arial" w:hAnsi="Arial"/>
        </w:rPr>
        <w:t>. For example, Syniverse customers are asked to at least test with customer of either NeuStar or TNSI</w:t>
      </w:r>
    </w:p>
    <w:p w:rsidR="00E64C2E" w:rsidRDefault="00E64C2E" w:rsidP="00E64C2E">
      <w:pPr>
        <w:rPr>
          <w:rFonts w:ascii="Arial" w:hAnsi="Arial"/>
        </w:rPr>
      </w:pPr>
    </w:p>
    <w:p w:rsidR="00E64C2E" w:rsidRDefault="00E64C2E" w:rsidP="00E64C2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Couple of carriers announced that they have conducted test effort for both 4.0 </w:t>
      </w:r>
      <w:r w:rsidRPr="00234FB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4.0 as well as 4.0 </w:t>
      </w:r>
      <w:r w:rsidRPr="00234FB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5.0. At this time, there weren’t any reported defects</w:t>
      </w:r>
    </w:p>
    <w:p w:rsidR="00A83242" w:rsidRDefault="00A83242" w:rsidP="00C12D21">
      <w:pPr>
        <w:rPr>
          <w:rFonts w:ascii="Arial" w:hAnsi="Arial"/>
        </w:rPr>
      </w:pPr>
    </w:p>
    <w:p w:rsidR="00C12D21" w:rsidRDefault="00C12D21" w:rsidP="00C12D21">
      <w:pPr>
        <w:rPr>
          <w:rFonts w:ascii="Arial" w:hAnsi="Arial"/>
        </w:rPr>
      </w:pPr>
    </w:p>
    <w:p w:rsidR="00C12D21" w:rsidRDefault="00CE5D21" w:rsidP="00C12D21">
      <w:pPr>
        <w:rPr>
          <w:rFonts w:ascii="Arial" w:hAnsi="Arial"/>
        </w:rPr>
      </w:pPr>
      <w:r>
        <w:rPr>
          <w:rFonts w:ascii="Arial" w:hAnsi="Arial"/>
        </w:rPr>
        <w:t>Vendor to Vendor Testing:</w:t>
      </w:r>
    </w:p>
    <w:p w:rsidR="00CE5D21" w:rsidRDefault="00CE5D21" w:rsidP="00C12D21">
      <w:pPr>
        <w:rPr>
          <w:rFonts w:ascii="Arial" w:hAnsi="Arial"/>
        </w:rPr>
      </w:pPr>
    </w:p>
    <w:p w:rsidR="00CE5D21" w:rsidRPr="00A83242" w:rsidRDefault="00CE5D21" w:rsidP="00CE5D2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NeuStar reported </w:t>
      </w:r>
      <w:r w:rsidR="00234FB2">
        <w:rPr>
          <w:rFonts w:ascii="Arial" w:hAnsi="Arial"/>
        </w:rPr>
        <w:t>the completion of their test effort with both Syniverse and TNS</w:t>
      </w:r>
    </w:p>
    <w:p w:rsidR="00A83242" w:rsidRDefault="00A83242" w:rsidP="007407CB">
      <w:pPr>
        <w:rPr>
          <w:rFonts w:ascii="Arial" w:hAnsi="Arial"/>
        </w:rPr>
      </w:pPr>
    </w:p>
    <w:p w:rsidR="00A83242" w:rsidRDefault="00A83242" w:rsidP="00CE5D21">
      <w:pPr>
        <w:ind w:left="720"/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234FB2">
        <w:rPr>
          <w:rFonts w:ascii="Arial" w:hAnsi="Arial"/>
        </w:rPr>
        <w:t xml:space="preserve">latest ICT </w:t>
      </w:r>
      <w:r>
        <w:rPr>
          <w:rFonts w:ascii="Arial" w:hAnsi="Arial"/>
        </w:rPr>
        <w:t>schedule:</w:t>
      </w:r>
    </w:p>
    <w:p w:rsidR="00A83242" w:rsidRDefault="00A83242" w:rsidP="00A83242">
      <w:pPr>
        <w:rPr>
          <w:rFonts w:ascii="Arial" w:hAnsi="Arial"/>
        </w:rPr>
      </w:pPr>
    </w:p>
    <w:p w:rsidR="00CE5D21" w:rsidRDefault="00AF51D7" w:rsidP="00A83242">
      <w:pPr>
        <w:rPr>
          <w:rFonts w:ascii="Arial" w:hAnsi="Arial"/>
        </w:rPr>
      </w:pPr>
      <w:r>
        <w:rPr>
          <w:rFonts w:ascii="Arial" w:hAnsi="Arial"/>
        </w:rP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7" o:title=""/>
          </v:shape>
          <o:OLEObject Type="Embed" ProgID="Excel.Sheet.8" ShapeID="_x0000_i1026" DrawAspect="Icon" ObjectID="_1337688508" r:id="rId8"/>
        </w:object>
      </w:r>
    </w:p>
    <w:p w:rsidR="00CE5D21" w:rsidRDefault="00CE5D21" w:rsidP="00C12D21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C12D21" w:rsidRPr="00C12D21" w:rsidRDefault="00C12D21" w:rsidP="00C12D21">
      <w:pPr>
        <w:rPr>
          <w:rFonts w:ascii="Arial" w:hAnsi="Arial"/>
          <w:b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:rsidR="0036033C" w:rsidRDefault="0036033C" w:rsidP="00234FB2">
      <w:pPr>
        <w:rPr>
          <w:rFonts w:ascii="Arial" w:hAnsi="Arial"/>
        </w:rPr>
      </w:pPr>
    </w:p>
    <w:p w:rsidR="0036033C" w:rsidRDefault="0036033C" w:rsidP="0036033C">
      <w:pPr>
        <w:ind w:left="1440"/>
        <w:rPr>
          <w:rFonts w:ascii="Arial" w:hAnsi="Arial"/>
        </w:rPr>
      </w:pPr>
    </w:p>
    <w:p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June</w:t>
      </w:r>
      <w:r w:rsidRPr="00234FB2">
        <w:rPr>
          <w:rFonts w:ascii="Arial" w:hAnsi="Arial"/>
          <w:b/>
        </w:rPr>
        <w:t xml:space="preserve"> </w:t>
      </w:r>
      <w:r w:rsidR="00E64C2E">
        <w:rPr>
          <w:rFonts w:ascii="Arial" w:hAnsi="Arial"/>
          <w:b/>
        </w:rPr>
        <w:t>24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2010 </w:t>
      </w:r>
      <w:r w:rsidRPr="00234FB2">
        <w:rPr>
          <w:rFonts w:ascii="Arial" w:hAnsi="Arial"/>
        </w:rPr>
        <w:t xml:space="preserve">at </w:t>
      </w:r>
      <w:r>
        <w:rPr>
          <w:rFonts w:ascii="Arial" w:hAnsi="Arial"/>
          <w:b/>
        </w:rPr>
        <w:t>3:30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>
        <w:rPr>
          <w:rFonts w:ascii="Arial" w:hAnsi="Arial"/>
          <w:b/>
        </w:rPr>
        <w:t>4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:rsidR="00234FB2" w:rsidRPr="00234FB2" w:rsidRDefault="00234FB2" w:rsidP="00234FB2">
      <w:pPr>
        <w:rPr>
          <w:rFonts w:ascii="Arial" w:hAnsi="Arial"/>
        </w:rPr>
      </w:pPr>
    </w:p>
    <w:p w:rsidR="00234FB2" w:rsidRDefault="00234FB2" w:rsidP="00706B2C">
      <w:pPr>
        <w:rPr>
          <w:rFonts w:ascii="Arial" w:hAnsi="Arial"/>
          <w:b/>
          <w:u w:val="single"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>
          <v:shape id="_x0000_i1025" type="#_x0000_t75" style="width:468pt;height:249.75pt" o:ole="">
            <v:imagedata r:id="rId9" o:title=""/>
          </v:shape>
          <o:OLEObject Type="Embed" ProgID="Visio.Drawing.11" ShapeID="_x0000_i1025" DrawAspect="Content" ObjectID="_1337688509" r:id="rId10"/>
        </w:objec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B4" w:rsidRDefault="007E4FB4">
      <w:r>
        <w:separator/>
      </w:r>
    </w:p>
  </w:endnote>
  <w:endnote w:type="continuationSeparator" w:id="0">
    <w:p w:rsidR="007E4FB4" w:rsidRDefault="007E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B4" w:rsidRDefault="007E4FB4">
      <w:r>
        <w:separator/>
      </w:r>
    </w:p>
  </w:footnote>
  <w:footnote w:type="continuationSeparator" w:id="0">
    <w:p w:rsidR="007E4FB4" w:rsidRDefault="007E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Layout w:type="fixed"/>
      <w:tblLook w:val="0000"/>
    </w:tblPr>
    <w:tblGrid>
      <w:gridCol w:w="10188"/>
    </w:tblGrid>
    <w:tr w:rsidR="002235C1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:rsidR="002235C1" w:rsidRDefault="002235C1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A80"/>
    <w:multiLevelType w:val="hybridMultilevel"/>
    <w:tmpl w:val="228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36033C"/>
    <w:rsid w:val="003751BD"/>
    <w:rsid w:val="00380616"/>
    <w:rsid w:val="003F23D5"/>
    <w:rsid w:val="00415DC6"/>
    <w:rsid w:val="00440B6B"/>
    <w:rsid w:val="004D59DB"/>
    <w:rsid w:val="004E4D46"/>
    <w:rsid w:val="005578D5"/>
    <w:rsid w:val="00577E6E"/>
    <w:rsid w:val="005D5FAC"/>
    <w:rsid w:val="0060238F"/>
    <w:rsid w:val="006110B7"/>
    <w:rsid w:val="00615CBF"/>
    <w:rsid w:val="006202C9"/>
    <w:rsid w:val="006B57B0"/>
    <w:rsid w:val="006D3CFF"/>
    <w:rsid w:val="006D7D75"/>
    <w:rsid w:val="00706B2C"/>
    <w:rsid w:val="007407CB"/>
    <w:rsid w:val="007C0169"/>
    <w:rsid w:val="007E4FB4"/>
    <w:rsid w:val="007F78B9"/>
    <w:rsid w:val="00825717"/>
    <w:rsid w:val="008302DA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43E6"/>
    <w:rsid w:val="009E1E7D"/>
    <w:rsid w:val="009E5797"/>
    <w:rsid w:val="00A14246"/>
    <w:rsid w:val="00A15B6C"/>
    <w:rsid w:val="00A505D6"/>
    <w:rsid w:val="00A83242"/>
    <w:rsid w:val="00AA21D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70219"/>
    <w:rsid w:val="00D962A4"/>
    <w:rsid w:val="00DB6FBA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	</dc:title>
  <dc:subject/>
  <dc:creator>John Culver</dc:creator>
  <cp:keywords/>
  <dc:description/>
  <cp:lastModifiedBy>M-Samater</cp:lastModifiedBy>
  <cp:revision>4</cp:revision>
  <cp:lastPrinted>2002-03-06T00:03:00Z</cp:lastPrinted>
  <dcterms:created xsi:type="dcterms:W3CDTF">2010-06-10T22:20:00Z</dcterms:created>
  <dcterms:modified xsi:type="dcterms:W3CDTF">2010-06-10T22:22:00Z</dcterms:modified>
</cp:coreProperties>
</file>